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A" w:rsidRDefault="00640EF9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8142A" w:rsidRDefault="0018142A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18142A" w:rsidRDefault="0018142A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42A" w:rsidRDefault="001814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:rsidR="0018142A" w:rsidRDefault="00640EF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>21</w:t>
      </w:r>
      <w:r>
        <w:rPr>
          <w:rFonts w:ascii="Times New Roman" w:hAnsi="Times New Roman"/>
          <w:sz w:val="24"/>
          <w:szCs w:val="24"/>
        </w:rPr>
        <w:t xml:space="preserve"> m.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spalio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18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142A" w:rsidRDefault="00640EF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Psicholog</w:t>
      </w:r>
      <w:r>
        <w:rPr>
          <w:rFonts w:ascii="Times New Roman" w:hAnsi="Times New Roman"/>
          <w:b/>
          <w:bCs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J.Baltu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kien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Probleminiu elgesiu vaikas ir paauglys siun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ia 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 xml:space="preserve">vams 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inut</w:t>
      </w:r>
      <w:r>
        <w:rPr>
          <w:rFonts w:ascii="Times New Roman" w:hAnsi="Times New Roman"/>
          <w:b/>
          <w:bCs/>
          <w:sz w:val="24"/>
          <w:szCs w:val="24"/>
        </w:rPr>
        <w:t>ę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Koki</w:t>
      </w:r>
      <w:r>
        <w:rPr>
          <w:rFonts w:ascii="Times New Roman" w:hAnsi="Times New Roman"/>
          <w:sz w:val="24"/>
          <w:szCs w:val="24"/>
        </w:rPr>
        <w:t>ą ž</w:t>
      </w:r>
      <w:r>
        <w:rPr>
          <w:rFonts w:ascii="Times New Roman" w:hAnsi="Times New Roman"/>
          <w:sz w:val="24"/>
          <w:szCs w:val="24"/>
        </w:rPr>
        <w:t>inut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vaikas ir paauglys siun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vams, kai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aukia, mu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asi, nesikalba, 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sidaro savo kambaryje, keikiasi, </w:t>
      </w:r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>eidin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ja ar kitaip </w:t>
      </w:r>
      <w:r>
        <w:rPr>
          <w:rFonts w:ascii="Times New Roman" w:hAnsi="Times New Roman"/>
          <w:sz w:val="24"/>
          <w:szCs w:val="24"/>
        </w:rPr>
        <w:t>netinkamai elgiasi? Kod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inomi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dai, kaip nuraminti vaik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ar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spr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sti konflikt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ne visuomet suveikia, ir kas padeda suprasti jo elgesio ir savijautos prie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astis? 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Pagrindin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inut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Helvetica Neue" w:eastAsia="Helvetica Neue" w:hAnsi="Helvetica Neue" w:cs="Helvetica Neue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Vaikas ir paauglys </w:t>
      </w:r>
      <w:r>
        <w:rPr>
          <w:rFonts w:ascii="Times New Roman" w:hAnsi="Times New Roman"/>
          <w:sz w:val="24"/>
          <w:szCs w:val="24"/>
          <w:lang w:val="en-US"/>
        </w:rPr>
        <w:t>da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niausiai</w:t>
      </w:r>
      <w:proofErr w:type="spellEnd"/>
      <w:r>
        <w:rPr>
          <w:rFonts w:ascii="Times New Roman" w:hAnsi="Times New Roman"/>
          <w:sz w:val="24"/>
          <w:szCs w:val="24"/>
        </w:rPr>
        <w:t xml:space="preserve"> elgiasi taip, kaip tuo metu 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>si.</w:t>
      </w:r>
      <w:r>
        <w:rPr>
          <w:rFonts w:ascii="Helvetica Neue" w:hAnsi="Helvetica Neue"/>
        </w:rPr>
        <w:t xml:space="preserve"> </w:t>
      </w:r>
      <w:r>
        <w:rPr>
          <w:rFonts w:ascii="Times New Roman" w:hAnsi="Times New Roman"/>
          <w:sz w:val="24"/>
          <w:szCs w:val="24"/>
        </w:rPr>
        <w:t>Gali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sz w:val="24"/>
          <w:szCs w:val="24"/>
          <w:lang w:val="it-IT"/>
        </w:rPr>
        <w:t>vidutinio intensyvumo</w:t>
      </w:r>
      <w:r>
        <w:rPr>
          <w:rFonts w:ascii="Times New Roman" w:hAnsi="Times New Roman"/>
          <w:sz w:val="24"/>
          <w:szCs w:val="24"/>
        </w:rPr>
        <w:t xml:space="preserve"> jausmas arba labai stiprus ir tada sunkiau suvaldomas. Stipr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 jausmai kyla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vairiausi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prie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iau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niausiai d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nepatenkint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arba nepakankamai patenkint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vaiko poreiki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kurie skirtingais 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iaus </w:t>
      </w:r>
      <w:r>
        <w:rPr>
          <w:rFonts w:ascii="Times New Roman" w:hAnsi="Times New Roman"/>
          <w:sz w:val="24"/>
          <w:szCs w:val="24"/>
        </w:rPr>
        <w:t>tarpsniais yra skirtingi</w:t>
      </w:r>
      <w:r>
        <w:rPr>
          <w:rFonts w:ascii="Times New Roman" w:hAnsi="Times New Roman"/>
          <w:sz w:val="24"/>
          <w:szCs w:val="24"/>
          <w:lang w:val="es-ES_tradnl"/>
        </w:rPr>
        <w:t>. Tod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svarbu nereaguoti tik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  <w:lang w:val="it-IT"/>
        </w:rPr>
        <w:t>vaiko ar paauglio elges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pt-PT"/>
        </w:rPr>
        <w:t xml:space="preserve">, o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it-IT"/>
        </w:rPr>
        <w:t xml:space="preserve">ti giliau ir reaguoti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jo jausmus ir poreikius.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 pastebi, kad jau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bandyti ir buv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veiksmingi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dai, b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nebepadeda arba vien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  <w:lang w:val="pt-PT"/>
        </w:rPr>
        <w:t>suveikia, o 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 xml:space="preserve">ą  – </w:t>
      </w:r>
      <w:r>
        <w:rPr>
          <w:rFonts w:ascii="Times New Roman" w:hAnsi="Times New Roman"/>
          <w:sz w:val="24"/>
          <w:szCs w:val="24"/>
        </w:rPr>
        <w:t>ne. Taip nutinka, nes tas pats elgesys gali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daug 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ir 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ų“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Lietuvos nacionalin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 Martyno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vydo bibliotekoje vykusioje paskaitoje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Probleminis vaiko ir paauglio elgesys: koki</w:t>
      </w:r>
      <w:r>
        <w:rPr>
          <w:rFonts w:ascii="Times New Roman" w:hAnsi="Times New Roman"/>
          <w:sz w:val="24"/>
          <w:szCs w:val="24"/>
        </w:rPr>
        <w:t>ą ž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jis siun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pabr</w:t>
      </w:r>
      <w:r>
        <w:rPr>
          <w:rFonts w:ascii="Times New Roman" w:hAnsi="Times New Roman"/>
          <w:sz w:val="24"/>
          <w:szCs w:val="24"/>
        </w:rPr>
        <w:t xml:space="preserve">ėžė </w:t>
      </w:r>
      <w:r>
        <w:rPr>
          <w:rFonts w:ascii="Times New Roman" w:hAnsi="Times New Roman"/>
          <w:sz w:val="24"/>
          <w:szCs w:val="24"/>
        </w:rPr>
        <w:t xml:space="preserve">Paramos vaikams centro </w:t>
      </w:r>
      <w:r>
        <w:rPr>
          <w:rFonts w:ascii="Times New Roman" w:hAnsi="Times New Roman"/>
          <w:sz w:val="24"/>
          <w:szCs w:val="24"/>
        </w:rPr>
        <w:t>psicholog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sz w:val="24"/>
          <w:szCs w:val="24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Helvetica Neue" w:hAnsi="Helvetica Neue"/>
        </w:rPr>
        <w:t xml:space="preserve"> 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ir programos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Big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Brothers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Big</w:t>
      </w:r>
      <w:proofErr w:type="spellEnd"/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 New Roman" w:hAnsi="Times New Roman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ters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vadov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skyr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 xml:space="preserve">pagrindines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inutes, k</w:t>
      </w:r>
      <w:r>
        <w:rPr>
          <w:rFonts w:ascii="Times New Roman" w:hAnsi="Times New Roman"/>
          <w:sz w:val="24"/>
          <w:szCs w:val="24"/>
        </w:rPr>
        <w:t xml:space="preserve">ą   </w:t>
      </w:r>
      <w:r>
        <w:rPr>
          <w:rFonts w:ascii="Times New Roman" w:hAnsi="Times New Roman"/>
          <w:sz w:val="24"/>
          <w:szCs w:val="24"/>
        </w:rPr>
        <w:t>problemi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kai</w:t>
      </w:r>
      <w:r>
        <w:rPr>
          <w:rFonts w:ascii="Times New Roman" w:hAnsi="Times New Roman"/>
          <w:color w:val="1DB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elgdamasis vaikas ir paauglys nori pasakyti. Gali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ti, kad jis tokiu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du prane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a, jog nesuvald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jausm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auga ir </w:t>
      </w:r>
      <w:r>
        <w:rPr>
          <w:rFonts w:ascii="Times New Roman" w:hAnsi="Times New Roman"/>
          <w:sz w:val="24"/>
          <w:szCs w:val="24"/>
        </w:rPr>
        <w:t>nor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kitokio bendravimo, jam nesaugu santykyje,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mir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alkio, tro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kulio, nuovargio ar nuobodulio. 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Kai vaik</w:t>
      </w:r>
      <w:r>
        <w:rPr>
          <w:rFonts w:ascii="Times New Roman" w:hAnsi="Times New Roman"/>
          <w:sz w:val="24"/>
          <w:szCs w:val="24"/>
        </w:rPr>
        <w:t xml:space="preserve">ą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paaugl</w:t>
      </w:r>
      <w:proofErr w:type="spellEnd"/>
      <w:r>
        <w:rPr>
          <w:rFonts w:ascii="Times New Roman" w:hAnsi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sta labai stipr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, intensyv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 jausmai, kuri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jis dar nemoka saugiai suvaldyti, matome elges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kuris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mus</w:t>
      </w:r>
      <w:proofErr w:type="spellEnd"/>
      <w:r>
        <w:rPr>
          <w:rFonts w:ascii="Times New Roman" w:hAnsi="Times New Roman"/>
          <w:sz w:val="24"/>
          <w:szCs w:val="24"/>
        </w:rPr>
        <w:t xml:space="preserve">, suaugusius, gali </w:t>
      </w:r>
      <w:r>
        <w:rPr>
          <w:rFonts w:ascii="Times New Roman" w:hAnsi="Times New Roman"/>
          <w:sz w:val="24"/>
          <w:szCs w:val="24"/>
        </w:rPr>
        <w:t>neraminti, erzinti ar g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sdinti. Vaikas gali nesuvaldyti stipraus pyk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io, nerimo, li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desio, pavydo, kalt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pasibjaur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jimo, net 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iaugsmo ar kit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jausm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ti juos nevaldomu elgesiu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projekto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Kompleksini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paslaug</w:t>
      </w:r>
      <w:r>
        <w:rPr>
          <w:rFonts w:ascii="Times New Roman" w:hAnsi="Times New Roman"/>
          <w:sz w:val="24"/>
          <w:szCs w:val="24"/>
        </w:rPr>
        <w:t>ų š</w:t>
      </w:r>
      <w:r>
        <w:rPr>
          <w:rFonts w:ascii="Times New Roman" w:hAnsi="Times New Roman"/>
          <w:sz w:val="24"/>
          <w:szCs w:val="24"/>
        </w:rPr>
        <w:t>eimai teikimas Vilniaus mieste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paskaitoje sak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J.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Vaikams augant, labai svarbu per</w:t>
      </w:r>
      <w:r>
        <w:rPr>
          <w:rFonts w:ascii="Times New Roman" w:hAnsi="Times New Roman"/>
          <w:b/>
          <w:bCs/>
          <w:sz w:val="24"/>
          <w:szCs w:val="24"/>
        </w:rPr>
        <w:t>ž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ti savo elges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r>
        <w:rPr>
          <w:rFonts w:ascii="Times New Roman" w:hAnsi="Times New Roman"/>
          <w:b/>
          <w:bCs/>
          <w:sz w:val="24"/>
          <w:szCs w:val="24"/>
        </w:rPr>
        <w:t>su jais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Kita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inut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, kuri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netinkamu elgesiu vaikas ir paauglys nes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moningai prane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– „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</w:rPr>
        <w:t>augu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Vaikui augant, kei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 jo poreikiai ir jeigu jie 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ra patenkinami, niekur nedingsta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vaikas siekia jam svarbi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poreiki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patenkinimo bet kokiais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dais. K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dikiai</w:t>
      </w:r>
      <w:proofErr w:type="spellEnd"/>
      <w:r>
        <w:rPr>
          <w:rFonts w:ascii="Times New Roman" w:hAnsi="Times New Roman"/>
          <w:sz w:val="24"/>
          <w:szCs w:val="24"/>
        </w:rPr>
        <w:t xml:space="preserve"> turi poreik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saug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s ir saugomi, bet </w:t>
      </w:r>
      <w:proofErr w:type="spellStart"/>
      <w:r>
        <w:rPr>
          <w:rFonts w:ascii="Times New Roman" w:hAnsi="Times New Roman"/>
          <w:sz w:val="24"/>
          <w:szCs w:val="24"/>
        </w:rPr>
        <w:t>dvime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iams-trime</w:t>
      </w:r>
      <w:r>
        <w:rPr>
          <w:rFonts w:ascii="Times New Roman" w:hAnsi="Times New Roman"/>
          <w:sz w:val="24"/>
          <w:szCs w:val="24"/>
        </w:rPr>
        <w:t>č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is poreikis pasitraukia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antr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 xml:space="preserve">ą – </w:t>
      </w:r>
      <w:r>
        <w:rPr>
          <w:rFonts w:ascii="Times New Roman" w:hAnsi="Times New Roman"/>
          <w:sz w:val="24"/>
          <w:szCs w:val="24"/>
        </w:rPr>
        <w:t>jie jau siekia savaranki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kumo, nepriklaus</w:t>
      </w:r>
      <w:r>
        <w:rPr>
          <w:rFonts w:ascii="Times New Roman" w:hAnsi="Times New Roman"/>
          <w:sz w:val="24"/>
          <w:szCs w:val="24"/>
        </w:rPr>
        <w:t>omyb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s, tyrin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jimo poreiki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 xml:space="preserve">patenkinimo. </w:t>
      </w:r>
      <w:proofErr w:type="spellStart"/>
      <w:r>
        <w:rPr>
          <w:rFonts w:ascii="Times New Roman" w:hAnsi="Times New Roman"/>
          <w:sz w:val="24"/>
          <w:szCs w:val="24"/>
        </w:rPr>
        <w:t>Keturme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iui-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iame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>iui irgi svarb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pt-PT"/>
        </w:rPr>
        <w:t>s saugumo ir savaranki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kumo</w:t>
      </w:r>
      <w:proofErr w:type="spellEnd"/>
      <w:r>
        <w:rPr>
          <w:rFonts w:ascii="Times New Roman" w:hAnsi="Times New Roman"/>
          <w:sz w:val="24"/>
          <w:szCs w:val="24"/>
        </w:rPr>
        <w:t xml:space="preserve"> poreikiai, bet taip pat jiems </w:t>
      </w:r>
      <w:proofErr w:type="spellStart"/>
      <w:r>
        <w:rPr>
          <w:rFonts w:ascii="Times New Roman" w:hAnsi="Times New Roman"/>
          <w:sz w:val="24"/>
          <w:szCs w:val="24"/>
        </w:rPr>
        <w:t>svarb</w:t>
      </w:r>
      <w:r>
        <w:rPr>
          <w:rFonts w:ascii="Times New Roman" w:hAnsi="Times New Roman"/>
          <w:sz w:val="24"/>
          <w:szCs w:val="24"/>
        </w:rPr>
        <w:t>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s ir iniciatyvumo, savo geb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gali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atradimo poreikiai. Toliau augant vaikui, matome, kad pradin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se klas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 xml:space="preserve">se </w:t>
      </w:r>
      <w:r>
        <w:rPr>
          <w:rFonts w:ascii="Times New Roman" w:hAnsi="Times New Roman"/>
          <w:sz w:val="24"/>
          <w:szCs w:val="24"/>
          <w:lang w:val="es-ES_tradnl"/>
        </w:rPr>
        <w:t>jam ypa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</w:rPr>
        <w:t>svarbu jaustis priimtu ir sugeban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iu, patirt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km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  <w:lang w:val="it-IT"/>
        </w:rPr>
        <w:t>, sulaukti svarbi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it-IT"/>
        </w:rPr>
        <w:t>suaugusi</w:t>
      </w:r>
      <w:proofErr w:type="spellStart"/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pripa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inimo ir palaikymo. O paauglyst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je, prasid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jus keliui link suaugusiojo gyvenimo, ypa</w:t>
      </w:r>
      <w:r>
        <w:rPr>
          <w:rFonts w:ascii="Times New Roman" w:hAnsi="Times New Roman"/>
          <w:sz w:val="24"/>
          <w:szCs w:val="24"/>
        </w:rPr>
        <w:t xml:space="preserve">č </w:t>
      </w:r>
      <w:r>
        <w:rPr>
          <w:rFonts w:ascii="Times New Roman" w:hAnsi="Times New Roman"/>
          <w:sz w:val="24"/>
          <w:szCs w:val="24"/>
          <w:lang w:val="it-IT"/>
        </w:rPr>
        <w:t>stipr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vidiniai poreikiai tampa: savo tapatyb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atradimas, savaranki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kum</w:t>
      </w:r>
      <w:r>
        <w:rPr>
          <w:rFonts w:ascii="Times New Roman" w:hAnsi="Times New Roman"/>
          <w:sz w:val="24"/>
          <w:szCs w:val="24"/>
        </w:rPr>
        <w:t>as, priklausymas grupei, vertybi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sigryninimas, atsiskyrimas nuo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. Kuo labiau bus ignoruojami vaiko ar paauglio 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iui svarb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poreikiai, tuo atkakliau bus siekiama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patenkinimo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kino</w:t>
      </w:r>
      <w:proofErr w:type="spellEnd"/>
      <w:r>
        <w:rPr>
          <w:rFonts w:ascii="Times New Roman" w:hAnsi="Times New Roman"/>
          <w:sz w:val="24"/>
          <w:szCs w:val="24"/>
        </w:rPr>
        <w:t xml:space="preserve"> psicholog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Pasak </w:t>
      </w:r>
      <w:proofErr w:type="spell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, vaikams augant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engiant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etap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labai svarbu per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savo elges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su jais: </w:t>
      </w:r>
      <w:proofErr w:type="spellStart"/>
      <w:r>
        <w:rPr>
          <w:rFonts w:ascii="Times New Roman" w:hAnsi="Times New Roman"/>
          <w:sz w:val="24"/>
          <w:szCs w:val="24"/>
        </w:rPr>
        <w:t>prapl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tis</w:t>
      </w:r>
      <w:proofErr w:type="spellEnd"/>
      <w:r>
        <w:rPr>
          <w:rFonts w:ascii="Times New Roman" w:hAnsi="Times New Roman"/>
          <w:sz w:val="24"/>
          <w:szCs w:val="24"/>
        </w:rPr>
        <w:t xml:space="preserve"> ribas, keisti taisykles, suteikti vis daugiau savaranki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kumo. Svarbu suprasti, kad kiekvienam vaikui per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jimas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iaus tarpsn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irgi yra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ššū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kis ir nepaprastas etapas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vyk</w:t>
      </w:r>
      <w:r>
        <w:rPr>
          <w:rFonts w:ascii="Times New Roman" w:hAnsi="Times New Roman"/>
          <w:sz w:val="24"/>
          <w:szCs w:val="24"/>
        </w:rPr>
        <w:t>sta poky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iai jo viduje, atsiranda nauj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poj</w:t>
      </w:r>
      <w:r>
        <w:rPr>
          <w:rFonts w:ascii="Times New Roman" w:hAnsi="Times New Roman"/>
          <w:sz w:val="24"/>
          <w:szCs w:val="24"/>
        </w:rPr>
        <w:t>ūč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poreiki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jausm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ir min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kurios gali kelti daug </w:t>
      </w:r>
      <w:proofErr w:type="spellStart"/>
      <w:r>
        <w:rPr>
          <w:rFonts w:ascii="Times New Roman" w:hAnsi="Times New Roman"/>
          <w:sz w:val="24"/>
          <w:szCs w:val="24"/>
        </w:rPr>
        <w:t>sumai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ties. T</w:t>
      </w:r>
      <w:proofErr w:type="spellStart"/>
      <w:r>
        <w:rPr>
          <w:rFonts w:ascii="Times New Roman" w:hAnsi="Times New Roman"/>
          <w:sz w:val="24"/>
          <w:szCs w:val="24"/>
        </w:rPr>
        <w:t>ad</w:t>
      </w:r>
      <w:proofErr w:type="spellEnd"/>
      <w:r>
        <w:rPr>
          <w:rFonts w:ascii="Times New Roman" w:hAnsi="Times New Roman"/>
          <w:sz w:val="24"/>
          <w:szCs w:val="24"/>
        </w:rPr>
        <w:t xml:space="preserve"> norint vaikams palengvinti </w:t>
      </w:r>
      <w:r>
        <w:rPr>
          <w:rFonts w:ascii="Times New Roman" w:hAnsi="Times New Roman"/>
          <w:sz w:val="24"/>
          <w:szCs w:val="24"/>
          <w:lang w:val="it-IT"/>
        </w:rPr>
        <w:t>per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š </w:t>
      </w:r>
      <w:r>
        <w:rPr>
          <w:rFonts w:ascii="Times New Roman" w:hAnsi="Times New Roman"/>
          <w:sz w:val="24"/>
          <w:szCs w:val="24"/>
          <w:lang w:val="it-IT"/>
        </w:rPr>
        <w:t>vieno am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iaus</w:t>
      </w:r>
      <w:proofErr w:type="spellEnd"/>
      <w:r>
        <w:rPr>
          <w:rFonts w:ascii="Times New Roman" w:hAnsi="Times New Roman"/>
          <w:sz w:val="24"/>
          <w:szCs w:val="24"/>
        </w:rPr>
        <w:t xml:space="preserve"> tarpsnio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kit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neder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it-IT"/>
        </w:rPr>
        <w:t xml:space="preserve">pulti </w:t>
      </w:r>
      <w:r>
        <w:rPr>
          <w:rFonts w:ascii="Times New Roman" w:hAnsi="Times New Roman"/>
          <w:sz w:val="24"/>
          <w:szCs w:val="24"/>
        </w:rPr>
        <w:t xml:space="preserve">į </w:t>
      </w:r>
      <w:proofErr w:type="spellStart"/>
      <w:r>
        <w:rPr>
          <w:rFonts w:ascii="Times New Roman" w:hAnsi="Times New Roman"/>
          <w:sz w:val="24"/>
          <w:szCs w:val="24"/>
        </w:rPr>
        <w:t>kra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tutinimus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lang w:val="nl-NL"/>
        </w:rPr>
        <w:t>Nereik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tarsi u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liuoti</w:t>
      </w:r>
      <w:proofErr w:type="spellEnd"/>
      <w:r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umu,</w:t>
      </w:r>
      <w:r>
        <w:rPr>
          <w:rFonts w:ascii="Times New Roman" w:hAnsi="Times New Roman"/>
          <w:sz w:val="24"/>
          <w:szCs w:val="24"/>
        </w:rPr>
        <w:t xml:space="preserve"> nuo visko saugoti ir daryti tai, 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jau pats tikrai gali. Tuo lyg siun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iant vaikui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inut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  <w:lang w:val="nl-NL"/>
        </w:rPr>
        <w:t>Tu ir neauk, nereikia</w:t>
      </w:r>
      <w:r>
        <w:rPr>
          <w:rFonts w:ascii="Times New Roman" w:hAnsi="Times New Roman"/>
          <w:sz w:val="24"/>
          <w:szCs w:val="24"/>
        </w:rPr>
        <w:t>. Tik su mama ar t</w:t>
      </w:r>
      <w:r>
        <w:rPr>
          <w:rFonts w:ascii="Times New Roman" w:hAnsi="Times New Roman"/>
          <w:sz w:val="24"/>
          <w:szCs w:val="24"/>
        </w:rPr>
        <w:t>ėč</w:t>
      </w:r>
      <w:r>
        <w:rPr>
          <w:rFonts w:ascii="Times New Roman" w:hAnsi="Times New Roman"/>
          <w:sz w:val="24"/>
          <w:szCs w:val="24"/>
        </w:rPr>
        <w:t>iu t</w:t>
      </w:r>
      <w:r>
        <w:rPr>
          <w:rFonts w:ascii="Times New Roman" w:hAnsi="Times New Roman"/>
          <w:sz w:val="24"/>
          <w:szCs w:val="24"/>
          <w:lang w:val="pt-PT"/>
        </w:rPr>
        <w:t>au bus geriausia ir saugiausia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nl-NL"/>
        </w:rPr>
        <w:t>. Kita vertus, nereik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ir per aktyviai raginti eiti ir tik pa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da-DK"/>
        </w:rPr>
        <w:t>iam visk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pasidaryti, n</w:t>
      </w:r>
      <w:r>
        <w:rPr>
          <w:rFonts w:ascii="Times New Roman" w:hAnsi="Times New Roman"/>
          <w:sz w:val="24"/>
          <w:szCs w:val="24"/>
        </w:rPr>
        <w:t>es jau yra didelis. Tai vaikui gali sukelti vieni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umo jausm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taip pat kad per anksti su savo problemomis liko vienas. Tinkamiausias reagavimas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kur per vidur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Suprantu, kaip jautiesi, bet tu gali pats, pabandyk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. Toks vaiko jausm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mimas ir pa</w:t>
      </w:r>
      <w:r>
        <w:rPr>
          <w:rFonts w:ascii="Times New Roman" w:hAnsi="Times New Roman"/>
          <w:sz w:val="24"/>
          <w:szCs w:val="24"/>
          <w:lang w:val="es-ES_tradnl"/>
        </w:rPr>
        <w:t>rodytas pasitik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jimas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kvepia vaikus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sak</w:t>
      </w:r>
      <w:r>
        <w:rPr>
          <w:rFonts w:ascii="Times New Roman" w:hAnsi="Times New Roman"/>
          <w:sz w:val="24"/>
          <w:szCs w:val="24"/>
        </w:rPr>
        <w:t xml:space="preserve">ė </w:t>
      </w:r>
      <w:proofErr w:type="spell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Pirmiausia reik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pasakyti, kad normalu taip jaustis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kurioje nemokamai telefonu su profesionaliu psichologu galima pasitarti visais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aukl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jimo klausimais, vadov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taip pat</w:t>
      </w:r>
      <w:r>
        <w:rPr>
          <w:rFonts w:ascii="Times New Roman" w:hAnsi="Times New Roman"/>
          <w:sz w:val="24"/>
          <w:szCs w:val="24"/>
        </w:rPr>
        <w:t xml:space="preserve"> pastebi, kad vaikai ir paaugliai gali problemi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kai elgtis, kai 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 nesaug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s santykyje su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vais. Jau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iasi nepamatyti, nesulaukia nuo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irdaus dom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jimosi,  kai bendraujama atid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jus visus 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pes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ius bei darbus </w:t>
      </w:r>
      <w:r>
        <w:rPr>
          <w:rFonts w:ascii="Times New Roman" w:hAnsi="Times New Roman"/>
          <w:sz w:val="24"/>
          <w:szCs w:val="24"/>
        </w:rPr>
        <w:t>į š</w:t>
      </w:r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rint vaikui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 xml:space="preserve">akis. Kai girdi </w:t>
      </w:r>
      <w:r>
        <w:rPr>
          <w:rFonts w:ascii="Times New Roman" w:hAnsi="Times New Roman"/>
          <w:sz w:val="24"/>
          <w:szCs w:val="24"/>
        </w:rPr>
        <w:t>nuolatinius priekai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tus ar kritik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kai bijo suklysti ir tokiu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du nuvilti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vus, tuomet vaik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nl-NL"/>
        </w:rPr>
        <w:t>monin</w:t>
      </w:r>
      <w:r>
        <w:rPr>
          <w:rFonts w:ascii="Times New Roman" w:hAnsi="Times New Roman"/>
          <w:sz w:val="24"/>
          <w:szCs w:val="24"/>
        </w:rPr>
        <w:t xml:space="preserve">ė </w:t>
      </w:r>
      <w:r>
        <w:rPr>
          <w:rFonts w:ascii="Times New Roman" w:hAnsi="Times New Roman"/>
          <w:sz w:val="24"/>
          <w:szCs w:val="24"/>
        </w:rPr>
        <w:t>reakcija gali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bandymai saugum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santykyje atstatyti, taip kaip jie moka, ta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iau jiems to nepavyks padaryti, nes tai suaugusiojo atsakomyb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.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</w:t>
      </w:r>
      <w:r>
        <w:rPr>
          <w:rFonts w:ascii="Times New Roman" w:hAnsi="Times New Roman"/>
          <w:sz w:val="24"/>
          <w:szCs w:val="24"/>
        </w:rPr>
        <w:t>lemin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elges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taip pat gali sukelti nepatenkinti baziniai poreikiai: alkis, tro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kulys, nuovargis, nuobodulys, prasta savijauta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 ligos. Tokiu atveju pakanka pails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 ar pavalgyti ir elgesys pasikei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ia. 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lto visuomet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nepriklausomai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kokia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en-US"/>
        </w:rPr>
        <w:t>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probleminio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elgesio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astis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J.Baltu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rekomenduoja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pirmiausia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vaikui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r paaugliui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pasakyti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normalu taip jaustis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nusiraminti.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pad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vaiko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mesio nukreipimas, gilus pakv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pavimas, apkabinimas, erdv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suteikimas pab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ti vienam.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nusiraminus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labai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svarbu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gr</w:t>
      </w:r>
      <w:proofErr w:type="spellStart"/>
      <w:r>
        <w:rPr>
          <w:rFonts w:ascii="Times New Roman" w:hAnsi="Times New Roman"/>
          <w:sz w:val="24"/>
          <w:szCs w:val="24"/>
        </w:rPr>
        <w:t>įž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prie tos situacijos, pasikalb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ti, susitaikyti, atstatyti saugum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santykyje ir jeigu reikia, aptarti, koks vaiko elgesys buvo nepriimtinas ir kokio elgesio tik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tum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s 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Pavyzd</w:t>
      </w:r>
      <w:r>
        <w:rPr>
          <w:rFonts w:ascii="Times New Roman" w:hAnsi="Times New Roman"/>
          <w:sz w:val="24"/>
          <w:szCs w:val="24"/>
        </w:rPr>
        <w:t>ž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iui,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Suprantu, kad supykai, kai neb</w:t>
      </w:r>
      <w:r>
        <w:rPr>
          <w:rFonts w:ascii="Times New Roman" w:hAnsi="Times New Roman"/>
          <w:sz w:val="24"/>
          <w:szCs w:val="24"/>
        </w:rPr>
        <w:t>eleidau t</w:t>
      </w:r>
      <w:r>
        <w:rPr>
          <w:rFonts w:ascii="Times New Roman" w:hAnsi="Times New Roman"/>
          <w:sz w:val="24"/>
          <w:szCs w:val="24"/>
          <w:lang w:val="fr-FR"/>
        </w:rPr>
        <w:t xml:space="preserve">au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it-IT"/>
        </w:rPr>
        <w:t>aisti kompiuteriu, bet net supyk</w:t>
      </w:r>
      <w:proofErr w:type="spellStart"/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negali spirti kitam. 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labai stipriai patreps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k, kad visas pyktis per kojas i</w:t>
      </w:r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eit</w:t>
      </w:r>
      <w:proofErr w:type="spellEnd"/>
      <w:r>
        <w:rPr>
          <w:rFonts w:ascii="Times New Roman" w:hAnsi="Times New Roman"/>
          <w:sz w:val="24"/>
          <w:szCs w:val="24"/>
          <w:rtl/>
          <w:lang w:val="ar-SA"/>
        </w:rPr>
        <w:t>ų“</w:t>
      </w:r>
      <w:r>
        <w:rPr>
          <w:rFonts w:ascii="Times New Roman" w:hAnsi="Times New Roman"/>
          <w:sz w:val="24"/>
          <w:szCs w:val="24"/>
        </w:rPr>
        <w:t>. Vyresnio vaiko ir paauglio galima paties paklausti, kaip kit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kart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saugiu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du jis nor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parodyti, kad pyksta.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kirsti keli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probleminiam elgesiui ir ma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inti konfliktini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situacij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</w:rPr>
        <w:t>labai padeda kuriamas ir nuolat puosel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jamas ry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ys su vaiku ir paaugliu, emocinis saugumas santykiuose, nuoseklios ir 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kios ribos, vienodas mamos ir t</w:t>
      </w:r>
      <w:r>
        <w:rPr>
          <w:rFonts w:ascii="Times New Roman" w:hAnsi="Times New Roman"/>
          <w:sz w:val="24"/>
          <w:szCs w:val="24"/>
        </w:rPr>
        <w:t>ėč</w:t>
      </w:r>
      <w:r>
        <w:rPr>
          <w:rFonts w:ascii="Times New Roman" w:hAnsi="Times New Roman"/>
          <w:sz w:val="24"/>
          <w:szCs w:val="24"/>
        </w:rPr>
        <w:t>io po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ris 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</w:rPr>
        <w:t>aukl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, taip </w:t>
      </w:r>
      <w:r>
        <w:rPr>
          <w:rFonts w:ascii="Times New Roman" w:hAnsi="Times New Roman"/>
          <w:sz w:val="24"/>
          <w:szCs w:val="24"/>
        </w:rPr>
        <w:t>pat poreiki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>, jausm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</w:rPr>
        <w:t xml:space="preserve">, elgesio matymas ir supratimas. </w:t>
      </w:r>
    </w:p>
    <w:p w:rsidR="0018142A" w:rsidRDefault="0018142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Visais r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pimais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klausimais apie vaik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elges</w:t>
      </w:r>
      <w:r>
        <w:rPr>
          <w:rFonts w:ascii="Times New Roman" w:hAnsi="Times New Roman"/>
          <w:b/>
          <w:bCs/>
          <w:sz w:val="24"/>
          <w:szCs w:val="24"/>
        </w:rPr>
        <w:t xml:space="preserve">į </w:t>
      </w:r>
      <w:r>
        <w:rPr>
          <w:rFonts w:ascii="Times New Roman" w:hAnsi="Times New Roman"/>
          <w:b/>
          <w:bCs/>
          <w:sz w:val="24"/>
          <w:szCs w:val="24"/>
        </w:rPr>
        <w:t>ir savijaut</w:t>
      </w:r>
      <w:r>
        <w:rPr>
          <w:rFonts w:ascii="Times New Roman" w:hAnsi="Times New Roman"/>
          <w:b/>
          <w:bCs/>
          <w:sz w:val="24"/>
          <w:szCs w:val="24"/>
        </w:rPr>
        <w:t xml:space="preserve">ą </w:t>
      </w:r>
      <w:r>
        <w:rPr>
          <w:rFonts w:ascii="Times New Roman" w:hAnsi="Times New Roman"/>
          <w:b/>
          <w:bCs/>
          <w:sz w:val="24"/>
          <w:szCs w:val="24"/>
        </w:rPr>
        <w:t xml:space="preserve">galima pasitarti su psichologu Paramos vaikams centro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ė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linijoje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, paskambinus nemokamu numeriu 8 800 900 12. Daugiau informacijos: </w:t>
      </w:r>
      <w:hyperlink r:id="rId8" w:history="1">
        <w:r>
          <w:rPr>
            <w:rStyle w:val="Hyperlink0"/>
            <w:rFonts w:ascii="Times New Roman" w:hAnsi="Times New Roman"/>
            <w:b/>
            <w:bCs/>
            <w:sz w:val="24"/>
            <w:szCs w:val="24"/>
          </w:rPr>
          <w:t>www.tevulinija.lt</w:t>
        </w:r>
      </w:hyperlink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142A" w:rsidRDefault="0018142A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8142A" w:rsidRDefault="00640EF9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 - - </w:t>
      </w:r>
    </w:p>
    <w:p w:rsidR="0018142A" w:rsidRDefault="0018142A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640EF9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:rsidR="0018142A" w:rsidRDefault="00640EF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ers Big Sisters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18142A" w:rsidRDefault="001814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18142A" w:rsidRDefault="001814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142A" w:rsidRDefault="001814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18142A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F9" w:rsidRDefault="00640EF9">
      <w:r>
        <w:separator/>
      </w:r>
    </w:p>
  </w:endnote>
  <w:endnote w:type="continuationSeparator" w:id="0">
    <w:p w:rsidR="00640EF9" w:rsidRDefault="0064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BA"/>
    <w:family w:val="swiss"/>
    <w:pitch w:val="variable"/>
    <w:sig w:usb0="00000007" w:usb1="00000000" w:usb2="00000000" w:usb3="00000000" w:csb0="00000093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2A" w:rsidRDefault="001814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F9" w:rsidRDefault="00640EF9">
      <w:r>
        <w:separator/>
      </w:r>
    </w:p>
  </w:footnote>
  <w:footnote w:type="continuationSeparator" w:id="0">
    <w:p w:rsidR="00640EF9" w:rsidRDefault="00640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2A" w:rsidRDefault="001814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142A"/>
    <w:rsid w:val="0018142A"/>
    <w:rsid w:val="00640EF9"/>
    <w:rsid w:val="00B5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saitas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saitas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vulinija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4454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2</cp:revision>
  <dcterms:created xsi:type="dcterms:W3CDTF">2021-10-20T04:32:00Z</dcterms:created>
  <dcterms:modified xsi:type="dcterms:W3CDTF">2021-10-20T04:32:00Z</dcterms:modified>
</cp:coreProperties>
</file>